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RM6203 for the provision of eDisclosure and Review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Call-Off Special Terms and Call-Off Special Schedules.</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RM6203</w:t>
      </w:r>
    </w:p>
    <w:p w:rsidR="00000000" w:rsidDel="00000000" w:rsidP="00000000" w:rsidRDefault="00000000" w:rsidRPr="00000000" w14:paraId="0000002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Call-Off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framework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RM6203</w:t>
      </w:r>
      <w:r w:rsidDel="00000000" w:rsidR="00000000" w:rsidRPr="00000000">
        <w:rPr>
          <w:rtl w:val="0"/>
        </w:rPr>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2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02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02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reference number]</w:t>
        <w:tab/>
        <w:tab/>
        <w:tab/>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3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5 (Pricing Details)</w:t>
        <w:tab/>
        <w:tab/>
        <w:tab/>
        <w:t xml:space="preserve"> ]</w:t>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6 (ICT Services) </w:t>
        <w:tab/>
        <w:tab/>
        <w:tab/>
        <w:tab/>
        <w:tab/>
        <w:t xml:space="preserve"> ]</w:t>
      </w:r>
    </w:p>
    <w:p w:rsidR="00000000" w:rsidDel="00000000" w:rsidP="00000000" w:rsidRDefault="00000000" w:rsidRPr="00000000" w14:paraId="0000003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7 (Key Supplier Staff)</w:t>
        <w:tab/>
        <w:tab/>
        <w:t xml:space="preserve"> </w:t>
        <w:tab/>
        <w:tab/>
        <w:t xml:space="preserve"> ]</w:t>
      </w:r>
    </w:p>
    <w:p w:rsidR="00000000" w:rsidDel="00000000" w:rsidP="00000000" w:rsidRDefault="00000000" w:rsidRPr="00000000" w14:paraId="0000003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w:t>
        <w:tab/>
        <w:tab/>
        <w:t xml:space="preserve"> </w:t>
        <w:tab/>
        <w:tab/>
        <w:t xml:space="preserve">  </w:t>
        <w:tab/>
        <w:t xml:space="preserve"> ] </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10 (Exit Management) </w:t>
        <w:tab/>
        <w:tab/>
        <w:tab/>
        <w:t xml:space="preserve"> </w:t>
        <w:tab/>
        <w:t xml:space="preserve"> ]</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12 (Clustering) </w:t>
        <w:tab/>
        <w:tab/>
        <w:tab/>
        <w:tab/>
        <w:tab/>
        <w:t xml:space="preserve"> ]</w:t>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14 (Service Levels) </w:t>
        <w:tab/>
        <w:tab/>
        <w:tab/>
        <w:tab/>
        <w:t xml:space="preserve"> ]</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15 (Call-Off Contract Management) </w:t>
        <w:tab/>
        <w:tab/>
        <w:t xml:space="preserve"> ]</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 </w:t>
        <w:tab/>
        <w:tab/>
        <w:tab/>
        <w:tab/>
        <w:t xml:space="preserve"> ]</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17 (MOD Terms) </w:t>
        <w:tab/>
        <w:tab/>
        <w:tab/>
        <w:tab/>
        <w:tab/>
        <w:t xml:space="preserve">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18 (Background Checks) </w:t>
        <w:tab/>
        <w:tab/>
        <w:tab/>
        <w:t xml:space="preserve">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19 (Scottish Law)</w:t>
        <w:tab/>
        <w:tab/>
        <w:tab/>
        <w:tab/>
        <w:tab/>
        <w:t xml:space="preserve"> ]</w:t>
      </w:r>
    </w:p>
    <w:p w:rsidR="00000000" w:rsidDel="00000000" w:rsidP="00000000" w:rsidRDefault="00000000" w:rsidRPr="00000000" w14:paraId="0000004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20 (Call-Off Specification)</w:t>
        <w:tab/>
        <w:tab/>
        <w:tab/>
        <w:t xml:space="preserve"> ]</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21 (Northern Ireland Law) ]</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[Call-off Schedule 23 (HMRC Terms)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4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3.0.8)</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RM6203</w:t>
      </w:r>
    </w:p>
    <w:p w:rsidR="00000000" w:rsidDel="00000000" w:rsidP="00000000" w:rsidRDefault="00000000" w:rsidRPr="00000000" w14:paraId="0000004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0"/>
      <w:bookmarkEnd w:id="0"/>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3">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5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5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6C">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6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Call-Off Schedule 16 (Benchmarking)]</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1">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2">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5">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7">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A">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B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trHeight w:val="635" w:hRule="atLeast"/>
        </w:trPr>
        <w:tc>
          <w:tcPr/>
          <w:p w:rsidR="00000000" w:rsidDel="00000000" w:rsidP="00000000" w:rsidRDefault="00000000" w:rsidRPr="00000000" w14:paraId="000000B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C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C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C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3" w:hRule="atLeast"/>
        </w:trPr>
        <w:tc>
          <w:tcPr/>
          <w:p w:rsidR="00000000" w:rsidDel="00000000" w:rsidP="00000000" w:rsidRDefault="00000000" w:rsidRPr="00000000" w14:paraId="000000C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C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C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F">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0">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RM6203</w:t>
      <w:tab/>
      <w:t xml:space="preserve">                                           </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sRC0r5RbquUrhcN/ZukfIuXbHw==">AMUW2mVo7HwAPx85W2GcZjSh9ukTeUcdQRs/EFBAyyZVMlhc3ZOHERSYRPkaQ4GCWq6YTzkGYgzadP8CWzAtLC3H0jErA+wAzX3yi3Sdk0LX+7I+QmBdPW1shbbNCNYHtSDkm8aM9M0B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